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E7" w:rsidRDefault="004E7CE7" w:rsidP="004E7CE7">
      <w:pPr>
        <w:spacing w:after="0" w:line="240" w:lineRule="auto"/>
        <w:rPr>
          <w:rFonts w:ascii="Times New Roman" w:hAnsi="Times New Roman"/>
          <w:sz w:val="24"/>
          <w:szCs w:val="24"/>
        </w:rPr>
      </w:pPr>
      <w:bookmarkStart w:id="0" w:name="pril11"/>
    </w:p>
    <w:p w:rsidR="004E7CE7" w:rsidRPr="00CA7525" w:rsidRDefault="004E7CE7" w:rsidP="004E7CE7">
      <w:pPr>
        <w:spacing w:after="0" w:line="240" w:lineRule="auto"/>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 xml:space="preserve">                                                                     </w:t>
      </w:r>
    </w:p>
    <w:tbl>
      <w:tblPr>
        <w:tblpPr w:leftFromText="180" w:rightFromText="180" w:bottomFromText="200" w:vertAnchor="text" w:horzAnchor="margin" w:tblpY="181"/>
        <w:tblW w:w="0" w:type="auto"/>
        <w:tblLayout w:type="fixed"/>
        <w:tblLook w:val="01E0"/>
      </w:tblPr>
      <w:tblGrid>
        <w:gridCol w:w="1951"/>
        <w:gridCol w:w="851"/>
        <w:gridCol w:w="1842"/>
      </w:tblGrid>
      <w:tr w:rsidR="004E7CE7" w:rsidRPr="00CA7525" w:rsidTr="00D80FBC">
        <w:trPr>
          <w:trHeight w:val="607"/>
        </w:trPr>
        <w:tc>
          <w:tcPr>
            <w:tcW w:w="4644" w:type="dxa"/>
            <w:gridSpan w:val="3"/>
            <w:hideMark/>
          </w:tcPr>
          <w:p w:rsidR="004E7CE7" w:rsidRDefault="004E7CE7" w:rsidP="004E7CE7">
            <w:pPr>
              <w:autoSpaceDE w:val="0"/>
              <w:autoSpaceDN w:val="0"/>
              <w:adjustRightInd w:val="0"/>
              <w:spacing w:after="0" w:line="240" w:lineRule="auto"/>
              <w:rPr>
                <w:rFonts w:ascii="Arial" w:eastAsia="Times New Roman" w:hAnsi="Arial" w:cs="Arial"/>
                <w:b/>
                <w:bCs/>
                <w:color w:val="303030"/>
                <w:sz w:val="20"/>
                <w:szCs w:val="20"/>
                <w:u w:val="single"/>
                <w:lang w:eastAsia="ru-RU"/>
              </w:rPr>
            </w:pPr>
            <w:r>
              <w:rPr>
                <w:rFonts w:ascii="Arial" w:eastAsia="Times New Roman" w:hAnsi="Arial" w:cs="Arial"/>
                <w:b/>
                <w:bCs/>
                <w:color w:val="303030"/>
                <w:sz w:val="20"/>
                <w:szCs w:val="20"/>
                <w:u w:val="single"/>
                <w:lang w:eastAsia="ru-RU"/>
              </w:rPr>
              <w:t>Рассмотрено и принято</w:t>
            </w:r>
          </w:p>
          <w:p w:rsidR="004E7CE7" w:rsidRPr="00CA7525" w:rsidRDefault="004E7CE7" w:rsidP="004E7CE7">
            <w:pPr>
              <w:autoSpaceDE w:val="0"/>
              <w:autoSpaceDN w:val="0"/>
              <w:adjustRightInd w:val="0"/>
              <w:spacing w:after="0" w:line="240" w:lineRule="auto"/>
              <w:rPr>
                <w:rFonts w:ascii="Times New Roman" w:eastAsia="Times New Roman" w:hAnsi="Times New Roman"/>
                <w:bCs/>
                <w:sz w:val="20"/>
                <w:szCs w:val="20"/>
                <w:lang w:eastAsia="ru-RU"/>
              </w:rPr>
            </w:pPr>
            <w:r>
              <w:rPr>
                <w:rFonts w:ascii="Arial" w:eastAsia="Times New Roman" w:hAnsi="Arial" w:cs="Arial"/>
                <w:b/>
                <w:bCs/>
                <w:color w:val="303030"/>
                <w:sz w:val="20"/>
                <w:szCs w:val="20"/>
                <w:u w:val="single"/>
                <w:lang w:eastAsia="ru-RU"/>
              </w:rPr>
              <w:t xml:space="preserve">Педагогическом </w:t>
            </w:r>
            <w:proofErr w:type="gramStart"/>
            <w:r>
              <w:rPr>
                <w:rFonts w:ascii="Arial" w:eastAsia="Times New Roman" w:hAnsi="Arial" w:cs="Arial"/>
                <w:b/>
                <w:bCs/>
                <w:color w:val="303030"/>
                <w:sz w:val="20"/>
                <w:szCs w:val="20"/>
                <w:u w:val="single"/>
                <w:lang w:eastAsia="ru-RU"/>
              </w:rPr>
              <w:t>совете</w:t>
            </w:r>
            <w:proofErr w:type="gramEnd"/>
            <w:r>
              <w:rPr>
                <w:rFonts w:ascii="Arial" w:eastAsia="Times New Roman" w:hAnsi="Arial" w:cs="Arial"/>
                <w:b/>
                <w:bCs/>
                <w:color w:val="303030"/>
                <w:sz w:val="20"/>
                <w:szCs w:val="20"/>
                <w:u w:val="single"/>
                <w:lang w:eastAsia="ru-RU"/>
              </w:rPr>
              <w:t xml:space="preserve"> протокол</w:t>
            </w:r>
          </w:p>
          <w:p w:rsidR="004E7CE7" w:rsidRPr="00CA7525" w:rsidRDefault="004E7CE7" w:rsidP="00D80FBC">
            <w:pPr>
              <w:widowControl w:val="0"/>
              <w:suppressAutoHyphens/>
              <w:autoSpaceDE w:val="0"/>
              <w:autoSpaceDN w:val="0"/>
              <w:adjustRightInd w:val="0"/>
              <w:spacing w:after="0" w:line="240" w:lineRule="auto"/>
              <w:rPr>
                <w:rFonts w:ascii="Times New Roman" w:eastAsia="Times New Roman" w:hAnsi="Times New Roman"/>
                <w:bCs/>
                <w:sz w:val="20"/>
                <w:szCs w:val="20"/>
                <w:lang w:eastAsia="ru-RU"/>
              </w:rPr>
            </w:pPr>
          </w:p>
        </w:tc>
      </w:tr>
      <w:tr w:rsidR="004E7CE7" w:rsidRPr="00CA7525" w:rsidTr="00D80FBC">
        <w:trPr>
          <w:trHeight w:val="310"/>
        </w:trPr>
        <w:tc>
          <w:tcPr>
            <w:tcW w:w="1951" w:type="dxa"/>
            <w:tcBorders>
              <w:top w:val="nil"/>
              <w:left w:val="nil"/>
              <w:bottom w:val="single" w:sz="4" w:space="0" w:color="auto"/>
              <w:right w:val="nil"/>
            </w:tcBorders>
            <w:hideMark/>
          </w:tcPr>
          <w:p w:rsidR="004E7CE7" w:rsidRPr="00CA7525" w:rsidRDefault="004E7CE7" w:rsidP="00D80FBC">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27.08</w:t>
            </w:r>
            <w:r w:rsidRPr="00CA7525">
              <w:rPr>
                <w:rFonts w:ascii="Times New Roman" w:eastAsia="Times New Roman" w:hAnsi="Times New Roman"/>
                <w:sz w:val="20"/>
                <w:szCs w:val="20"/>
                <w:lang w:eastAsia="ru-RU"/>
              </w:rPr>
              <w:t>.2013</w:t>
            </w:r>
          </w:p>
        </w:tc>
        <w:tc>
          <w:tcPr>
            <w:tcW w:w="851" w:type="dxa"/>
            <w:hideMark/>
          </w:tcPr>
          <w:p w:rsidR="004E7CE7" w:rsidRPr="00CA7525" w:rsidRDefault="004E7CE7" w:rsidP="00D80FBC">
            <w:pPr>
              <w:widowControl w:val="0"/>
              <w:suppressAutoHyphens/>
              <w:spacing w:after="0" w:line="240" w:lineRule="auto"/>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 xml:space="preserve">№ </w:t>
            </w:r>
          </w:p>
        </w:tc>
        <w:tc>
          <w:tcPr>
            <w:tcW w:w="1842" w:type="dxa"/>
            <w:tcBorders>
              <w:top w:val="nil"/>
              <w:left w:val="nil"/>
              <w:bottom w:val="single" w:sz="4" w:space="0" w:color="auto"/>
              <w:right w:val="nil"/>
            </w:tcBorders>
            <w:hideMark/>
          </w:tcPr>
          <w:p w:rsidR="004E7CE7" w:rsidRPr="00CA7525" w:rsidRDefault="004E7CE7" w:rsidP="00D80FBC">
            <w:pPr>
              <w:widowControl w:val="0"/>
              <w:suppressAutoHyphens/>
              <w:spacing w:after="0" w:line="240" w:lineRule="auto"/>
              <w:ind w:hanging="43"/>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4E7CE7" w:rsidRPr="00CA7525" w:rsidTr="00D80FBC">
        <w:trPr>
          <w:trHeight w:val="169"/>
        </w:trPr>
        <w:tc>
          <w:tcPr>
            <w:tcW w:w="1951" w:type="dxa"/>
            <w:tcBorders>
              <w:top w:val="single" w:sz="4" w:space="0" w:color="auto"/>
              <w:left w:val="nil"/>
              <w:bottom w:val="nil"/>
              <w:right w:val="nil"/>
            </w:tcBorders>
            <w:vAlign w:val="bottom"/>
            <w:hideMark/>
          </w:tcPr>
          <w:p w:rsidR="004E7CE7" w:rsidRPr="00CA7525" w:rsidRDefault="004E7CE7" w:rsidP="00D80FBC">
            <w:pPr>
              <w:widowControl w:val="0"/>
              <w:suppressAutoHyphens/>
              <w:spacing w:after="0" w:line="240" w:lineRule="auto"/>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(дата)</w:t>
            </w:r>
          </w:p>
        </w:tc>
        <w:tc>
          <w:tcPr>
            <w:tcW w:w="851" w:type="dxa"/>
            <w:vAlign w:val="bottom"/>
          </w:tcPr>
          <w:p w:rsidR="004E7CE7" w:rsidRPr="00CA7525" w:rsidRDefault="004E7CE7" w:rsidP="00D80FBC">
            <w:pPr>
              <w:widowControl w:val="0"/>
              <w:suppressAutoHyphens/>
              <w:spacing w:after="0" w:line="240" w:lineRule="auto"/>
              <w:rPr>
                <w:rFonts w:ascii="Times New Roman" w:eastAsia="Times New Roman" w:hAnsi="Times New Roman"/>
                <w:sz w:val="20"/>
                <w:szCs w:val="20"/>
                <w:lang w:eastAsia="ru-RU"/>
              </w:rPr>
            </w:pPr>
          </w:p>
        </w:tc>
        <w:tc>
          <w:tcPr>
            <w:tcW w:w="1842" w:type="dxa"/>
            <w:vAlign w:val="bottom"/>
          </w:tcPr>
          <w:p w:rsidR="004E7CE7" w:rsidRPr="00CA7525" w:rsidRDefault="004E7CE7" w:rsidP="00D80FBC">
            <w:pPr>
              <w:widowControl w:val="0"/>
              <w:suppressAutoHyphens/>
              <w:spacing w:after="0" w:line="240" w:lineRule="auto"/>
              <w:rPr>
                <w:rFonts w:ascii="Times New Roman" w:eastAsia="Times New Roman" w:hAnsi="Times New Roman"/>
                <w:sz w:val="20"/>
                <w:szCs w:val="20"/>
                <w:lang w:eastAsia="ru-RU"/>
              </w:rPr>
            </w:pPr>
          </w:p>
        </w:tc>
      </w:tr>
      <w:tr w:rsidR="004E7CE7" w:rsidRPr="00CA7525" w:rsidTr="00D80FBC">
        <w:trPr>
          <w:trHeight w:val="405"/>
        </w:trPr>
        <w:tc>
          <w:tcPr>
            <w:tcW w:w="4644" w:type="dxa"/>
            <w:gridSpan w:val="3"/>
            <w:tcBorders>
              <w:top w:val="nil"/>
              <w:left w:val="nil"/>
              <w:bottom w:val="single" w:sz="4" w:space="0" w:color="auto"/>
              <w:right w:val="nil"/>
            </w:tcBorders>
            <w:vAlign w:val="bottom"/>
            <w:hideMark/>
          </w:tcPr>
          <w:p w:rsidR="004E7CE7" w:rsidRPr="00CA7525" w:rsidRDefault="004E7CE7" w:rsidP="00D80FBC">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Д.Абзаково </w:t>
            </w:r>
            <w:r w:rsidRPr="00CA7525">
              <w:rPr>
                <w:rFonts w:ascii="Times New Roman" w:eastAsia="Times New Roman" w:hAnsi="Times New Roman"/>
                <w:sz w:val="20"/>
                <w:szCs w:val="20"/>
                <w:lang w:eastAsia="ru-RU"/>
              </w:rPr>
              <w:t xml:space="preserve">  </w:t>
            </w:r>
            <w:proofErr w:type="spellStart"/>
            <w:r w:rsidRPr="00CA7525">
              <w:rPr>
                <w:rFonts w:ascii="Times New Roman" w:eastAsia="Times New Roman" w:hAnsi="Times New Roman"/>
                <w:sz w:val="20"/>
                <w:szCs w:val="20"/>
                <w:lang w:eastAsia="ru-RU"/>
              </w:rPr>
              <w:t>Учалинский</w:t>
            </w:r>
            <w:proofErr w:type="spellEnd"/>
            <w:r w:rsidRPr="00CA7525">
              <w:rPr>
                <w:rFonts w:ascii="Times New Roman" w:eastAsia="Times New Roman" w:hAnsi="Times New Roman"/>
                <w:sz w:val="20"/>
                <w:szCs w:val="20"/>
                <w:lang w:eastAsia="ru-RU"/>
              </w:rPr>
              <w:t xml:space="preserve"> район</w:t>
            </w:r>
          </w:p>
        </w:tc>
      </w:tr>
      <w:tr w:rsidR="004E7CE7" w:rsidRPr="00CA7525" w:rsidTr="00D80FBC">
        <w:trPr>
          <w:trHeight w:val="118"/>
        </w:trPr>
        <w:tc>
          <w:tcPr>
            <w:tcW w:w="2802" w:type="dxa"/>
            <w:gridSpan w:val="2"/>
            <w:tcBorders>
              <w:top w:val="single" w:sz="4" w:space="0" w:color="auto"/>
              <w:left w:val="nil"/>
              <w:bottom w:val="nil"/>
              <w:right w:val="nil"/>
            </w:tcBorders>
            <w:vAlign w:val="bottom"/>
          </w:tcPr>
          <w:p w:rsidR="004E7CE7" w:rsidRPr="00CA7525" w:rsidRDefault="004E7CE7" w:rsidP="00D80FBC">
            <w:pPr>
              <w:widowControl w:val="0"/>
              <w:suppressAutoHyphens/>
              <w:spacing w:after="0" w:line="240" w:lineRule="auto"/>
              <w:rPr>
                <w:rFonts w:ascii="Times New Roman" w:eastAsia="Times New Roman" w:hAnsi="Times New Roman"/>
                <w:sz w:val="20"/>
                <w:szCs w:val="20"/>
                <w:lang w:eastAsia="ru-RU"/>
              </w:rPr>
            </w:pPr>
          </w:p>
        </w:tc>
        <w:tc>
          <w:tcPr>
            <w:tcW w:w="1842" w:type="dxa"/>
            <w:vAlign w:val="bottom"/>
          </w:tcPr>
          <w:p w:rsidR="004E7CE7" w:rsidRPr="00CA7525" w:rsidRDefault="004E7CE7" w:rsidP="00D80FBC">
            <w:pPr>
              <w:widowControl w:val="0"/>
              <w:suppressAutoHyphens/>
              <w:spacing w:after="0" w:line="240" w:lineRule="auto"/>
              <w:jc w:val="center"/>
              <w:rPr>
                <w:rFonts w:ascii="Times New Roman" w:eastAsia="Times New Roman" w:hAnsi="Times New Roman"/>
                <w:sz w:val="20"/>
                <w:szCs w:val="20"/>
                <w:lang w:eastAsia="ru-RU"/>
              </w:rPr>
            </w:pPr>
          </w:p>
        </w:tc>
      </w:tr>
    </w:tbl>
    <w:p w:rsidR="004E7CE7" w:rsidRPr="00CA7525" w:rsidRDefault="004E7CE7" w:rsidP="004E7CE7">
      <w:pPr>
        <w:spacing w:after="0" w:line="240" w:lineRule="auto"/>
        <w:rPr>
          <w:rFonts w:ascii="Times New Roman" w:eastAsia="Times New Roman" w:hAnsi="Times New Roman"/>
          <w:vanish/>
          <w:sz w:val="20"/>
          <w:szCs w:val="20"/>
          <w:lang w:eastAsia="ru-RU"/>
        </w:rPr>
      </w:pPr>
    </w:p>
    <w:tbl>
      <w:tblPr>
        <w:tblpPr w:leftFromText="180" w:rightFromText="180" w:bottomFromText="200" w:vertAnchor="text" w:horzAnchor="page" w:tblpX="6673" w:tblpY="131"/>
        <w:tblW w:w="0" w:type="auto"/>
        <w:tblLayout w:type="fixed"/>
        <w:tblLook w:val="01E0"/>
      </w:tblPr>
      <w:tblGrid>
        <w:gridCol w:w="356"/>
        <w:gridCol w:w="886"/>
        <w:gridCol w:w="236"/>
        <w:gridCol w:w="360"/>
        <w:gridCol w:w="755"/>
        <w:gridCol w:w="360"/>
        <w:gridCol w:w="360"/>
        <w:gridCol w:w="1757"/>
      </w:tblGrid>
      <w:tr w:rsidR="004E7CE7" w:rsidRPr="00CA7525" w:rsidTr="00D80FBC">
        <w:tc>
          <w:tcPr>
            <w:tcW w:w="5070" w:type="dxa"/>
            <w:gridSpan w:val="8"/>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 xml:space="preserve">             УТВЕРЖДАЮ</w:t>
            </w:r>
          </w:p>
        </w:tc>
      </w:tr>
      <w:tr w:rsidR="004E7CE7" w:rsidRPr="00CA7525" w:rsidTr="00D80FBC">
        <w:tc>
          <w:tcPr>
            <w:tcW w:w="1242" w:type="dxa"/>
            <w:gridSpan w:val="2"/>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Директор</w:t>
            </w:r>
          </w:p>
        </w:tc>
        <w:tc>
          <w:tcPr>
            <w:tcW w:w="3828" w:type="dxa"/>
            <w:gridSpan w:val="6"/>
            <w:tcBorders>
              <w:top w:val="nil"/>
              <w:left w:val="nil"/>
              <w:bottom w:val="single" w:sz="4" w:space="0" w:color="auto"/>
              <w:right w:val="nil"/>
            </w:tcBorders>
            <w:hideMark/>
          </w:tcPr>
          <w:p w:rsidR="004E7CE7" w:rsidRPr="00CA7525" w:rsidRDefault="004E7CE7" w:rsidP="004E7CE7">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 xml:space="preserve">МБОУ СОШ </w:t>
            </w:r>
            <w:r>
              <w:rPr>
                <w:rFonts w:ascii="Times New Roman" w:eastAsia="Times New Roman" w:hAnsi="Times New Roman"/>
                <w:sz w:val="20"/>
                <w:szCs w:val="20"/>
                <w:lang w:eastAsia="ru-RU"/>
              </w:rPr>
              <w:t>д</w:t>
            </w:r>
            <w:proofErr w:type="gramStart"/>
            <w:r>
              <w:rPr>
                <w:rFonts w:ascii="Times New Roman" w:eastAsia="Times New Roman" w:hAnsi="Times New Roman"/>
                <w:sz w:val="20"/>
                <w:szCs w:val="20"/>
                <w:lang w:eastAsia="ru-RU"/>
              </w:rPr>
              <w:t>.А</w:t>
            </w:r>
            <w:proofErr w:type="gramEnd"/>
            <w:r>
              <w:rPr>
                <w:rFonts w:ascii="Times New Roman" w:eastAsia="Times New Roman" w:hAnsi="Times New Roman"/>
                <w:sz w:val="20"/>
                <w:szCs w:val="20"/>
                <w:lang w:eastAsia="ru-RU"/>
              </w:rPr>
              <w:t>бзаково</w:t>
            </w:r>
          </w:p>
        </w:tc>
      </w:tr>
      <w:tr w:rsidR="004E7CE7" w:rsidRPr="00CA7525" w:rsidTr="00D80FBC">
        <w:tc>
          <w:tcPr>
            <w:tcW w:w="1242" w:type="dxa"/>
            <w:gridSpan w:val="2"/>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p>
        </w:tc>
        <w:tc>
          <w:tcPr>
            <w:tcW w:w="3828" w:type="dxa"/>
            <w:gridSpan w:val="6"/>
            <w:hideMark/>
          </w:tcPr>
          <w:p w:rsidR="004E7CE7" w:rsidRPr="00CA7525" w:rsidRDefault="004E7CE7" w:rsidP="00D80FBC">
            <w:pPr>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(название организации)</w:t>
            </w:r>
          </w:p>
          <w:p w:rsidR="004E7CE7" w:rsidRPr="00CA7525" w:rsidRDefault="004E7CE7" w:rsidP="00D80FBC">
            <w:pPr>
              <w:widowControl w:val="0"/>
              <w:suppressAutoHyphens/>
              <w:spacing w:after="0" w:line="240" w:lineRule="auto"/>
              <w:jc w:val="both"/>
              <w:rPr>
                <w:rFonts w:ascii="Times New Roman" w:eastAsia="Times New Roman" w:hAnsi="Times New Roman"/>
                <w:sz w:val="20"/>
                <w:szCs w:val="20"/>
                <w:u w:val="single"/>
                <w:lang w:eastAsia="ru-RU"/>
              </w:rPr>
            </w:pPr>
            <w:r w:rsidRPr="00CA7525">
              <w:rPr>
                <w:rFonts w:ascii="Times New Roman" w:eastAsia="Times New Roman" w:hAnsi="Times New Roman"/>
                <w:sz w:val="20"/>
                <w:szCs w:val="20"/>
                <w:u w:val="single"/>
                <w:lang w:eastAsia="ru-RU"/>
              </w:rPr>
              <w:t xml:space="preserve">МР </w:t>
            </w:r>
            <w:proofErr w:type="spellStart"/>
            <w:r w:rsidRPr="00CA7525">
              <w:rPr>
                <w:rFonts w:ascii="Times New Roman" w:eastAsia="Times New Roman" w:hAnsi="Times New Roman"/>
                <w:sz w:val="20"/>
                <w:szCs w:val="20"/>
                <w:u w:val="single"/>
                <w:lang w:eastAsia="ru-RU"/>
              </w:rPr>
              <w:t>Учалинский</w:t>
            </w:r>
            <w:proofErr w:type="spellEnd"/>
            <w:r w:rsidRPr="00CA7525">
              <w:rPr>
                <w:rFonts w:ascii="Times New Roman" w:eastAsia="Times New Roman" w:hAnsi="Times New Roman"/>
                <w:sz w:val="20"/>
                <w:szCs w:val="20"/>
                <w:u w:val="single"/>
                <w:lang w:eastAsia="ru-RU"/>
              </w:rPr>
              <w:t xml:space="preserve"> район РБ</w:t>
            </w:r>
          </w:p>
        </w:tc>
      </w:tr>
      <w:tr w:rsidR="004E7CE7" w:rsidRPr="00CA7525" w:rsidTr="00D80FBC">
        <w:tc>
          <w:tcPr>
            <w:tcW w:w="1478" w:type="dxa"/>
            <w:gridSpan w:val="3"/>
            <w:tcBorders>
              <w:top w:val="nil"/>
              <w:left w:val="nil"/>
              <w:bottom w:val="single" w:sz="4" w:space="0" w:color="auto"/>
              <w:right w:val="nil"/>
            </w:tcBorders>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p>
        </w:tc>
        <w:tc>
          <w:tcPr>
            <w:tcW w:w="360" w:type="dxa"/>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p>
        </w:tc>
        <w:tc>
          <w:tcPr>
            <w:tcW w:w="3232" w:type="dxa"/>
            <w:gridSpan w:val="4"/>
            <w:tcBorders>
              <w:top w:val="nil"/>
              <w:left w:val="nil"/>
              <w:bottom w:val="single" w:sz="4" w:space="0" w:color="auto"/>
              <w:right w:val="nil"/>
            </w:tcBorders>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В.К.Юсупов</w:t>
            </w:r>
          </w:p>
        </w:tc>
      </w:tr>
      <w:tr w:rsidR="004E7CE7" w:rsidRPr="00CA7525" w:rsidTr="00D80FBC">
        <w:trPr>
          <w:trHeight w:val="245"/>
        </w:trPr>
        <w:tc>
          <w:tcPr>
            <w:tcW w:w="1478" w:type="dxa"/>
            <w:gridSpan w:val="3"/>
            <w:tcBorders>
              <w:top w:val="single" w:sz="4" w:space="0" w:color="auto"/>
              <w:left w:val="nil"/>
              <w:bottom w:val="nil"/>
              <w:right w:val="nil"/>
            </w:tcBorders>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(подпись)</w:t>
            </w:r>
          </w:p>
        </w:tc>
        <w:tc>
          <w:tcPr>
            <w:tcW w:w="360" w:type="dxa"/>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p>
        </w:tc>
        <w:tc>
          <w:tcPr>
            <w:tcW w:w="3232" w:type="dxa"/>
            <w:gridSpan w:val="4"/>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(И.О. Фамилия)</w:t>
            </w:r>
          </w:p>
        </w:tc>
      </w:tr>
      <w:tr w:rsidR="004E7CE7" w:rsidRPr="00CA7525" w:rsidTr="00D80FBC">
        <w:trPr>
          <w:trHeight w:val="80"/>
        </w:trPr>
        <w:tc>
          <w:tcPr>
            <w:tcW w:w="356" w:type="dxa"/>
            <w:tcMar>
              <w:top w:w="0" w:type="dxa"/>
              <w:left w:w="28" w:type="dxa"/>
              <w:bottom w:w="0" w:type="dxa"/>
              <w:right w:w="28" w:type="dxa"/>
            </w:tcMar>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w:t>
            </w:r>
          </w:p>
        </w:tc>
        <w:tc>
          <w:tcPr>
            <w:tcW w:w="886" w:type="dxa"/>
            <w:tcBorders>
              <w:top w:val="nil"/>
              <w:left w:val="nil"/>
              <w:bottom w:val="single" w:sz="4" w:space="0" w:color="auto"/>
              <w:right w:val="nil"/>
            </w:tcBorders>
            <w:tcMar>
              <w:top w:w="0" w:type="dxa"/>
              <w:left w:w="28" w:type="dxa"/>
              <w:bottom w:w="0" w:type="dxa"/>
              <w:right w:w="28" w:type="dxa"/>
            </w:tcMar>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236" w:type="dxa"/>
            <w:tcMar>
              <w:top w:w="0" w:type="dxa"/>
              <w:left w:w="28" w:type="dxa"/>
              <w:bottom w:w="0" w:type="dxa"/>
              <w:right w:w="28" w:type="dxa"/>
            </w:tcMar>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w:t>
            </w:r>
          </w:p>
        </w:tc>
        <w:tc>
          <w:tcPr>
            <w:tcW w:w="1115" w:type="dxa"/>
            <w:gridSpan w:val="2"/>
            <w:tcBorders>
              <w:top w:val="nil"/>
              <w:left w:val="nil"/>
              <w:bottom w:val="single" w:sz="4" w:space="0" w:color="auto"/>
              <w:right w:val="nil"/>
            </w:tcBorders>
            <w:tcMar>
              <w:top w:w="0" w:type="dxa"/>
              <w:left w:w="28" w:type="dxa"/>
              <w:bottom w:w="0" w:type="dxa"/>
              <w:right w:w="28" w:type="dxa"/>
            </w:tcMar>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сентября</w:t>
            </w:r>
          </w:p>
        </w:tc>
        <w:tc>
          <w:tcPr>
            <w:tcW w:w="360" w:type="dxa"/>
            <w:tcMar>
              <w:top w:w="0" w:type="dxa"/>
              <w:left w:w="28" w:type="dxa"/>
              <w:bottom w:w="0" w:type="dxa"/>
              <w:right w:w="28" w:type="dxa"/>
            </w:tcMar>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20</w:t>
            </w:r>
          </w:p>
        </w:tc>
        <w:tc>
          <w:tcPr>
            <w:tcW w:w="360" w:type="dxa"/>
            <w:tcMar>
              <w:top w:w="0" w:type="dxa"/>
              <w:left w:w="28" w:type="dxa"/>
              <w:bottom w:w="0" w:type="dxa"/>
              <w:right w:w="28" w:type="dxa"/>
            </w:tcMar>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13</w:t>
            </w:r>
          </w:p>
        </w:tc>
        <w:tc>
          <w:tcPr>
            <w:tcW w:w="1757" w:type="dxa"/>
            <w:tcMar>
              <w:top w:w="0" w:type="dxa"/>
              <w:left w:w="28" w:type="dxa"/>
              <w:bottom w:w="0" w:type="dxa"/>
              <w:right w:w="28" w:type="dxa"/>
            </w:tcMar>
            <w:hideMark/>
          </w:tcPr>
          <w:p w:rsidR="004E7CE7" w:rsidRPr="00CA7525" w:rsidRDefault="004E7CE7" w:rsidP="00D80FBC">
            <w:pPr>
              <w:widowControl w:val="0"/>
              <w:suppressAutoHyphens/>
              <w:spacing w:after="0" w:line="240" w:lineRule="auto"/>
              <w:jc w:val="both"/>
              <w:rPr>
                <w:rFonts w:ascii="Times New Roman" w:eastAsia="Times New Roman" w:hAnsi="Times New Roman"/>
                <w:sz w:val="20"/>
                <w:szCs w:val="20"/>
                <w:lang w:eastAsia="ru-RU"/>
              </w:rPr>
            </w:pPr>
            <w:r w:rsidRPr="00CA7525">
              <w:rPr>
                <w:rFonts w:ascii="Times New Roman" w:eastAsia="Times New Roman" w:hAnsi="Times New Roman"/>
                <w:sz w:val="20"/>
                <w:szCs w:val="20"/>
                <w:lang w:eastAsia="ru-RU"/>
              </w:rPr>
              <w:t>г.</w:t>
            </w:r>
            <w:r>
              <w:rPr>
                <w:rFonts w:ascii="Times New Roman" w:eastAsia="Times New Roman" w:hAnsi="Times New Roman"/>
                <w:sz w:val="20"/>
                <w:szCs w:val="20"/>
                <w:lang w:eastAsia="ru-RU"/>
              </w:rPr>
              <w:t xml:space="preserve"> № 74</w:t>
            </w:r>
          </w:p>
        </w:tc>
      </w:tr>
    </w:tbl>
    <w:p w:rsidR="004E7CE7" w:rsidRDefault="004E7CE7" w:rsidP="004E7CE7">
      <w:pPr>
        <w:spacing w:after="0" w:line="240" w:lineRule="auto"/>
        <w:rPr>
          <w:rFonts w:ascii="Times New Roman" w:hAnsi="Times New Roman"/>
          <w:sz w:val="24"/>
          <w:szCs w:val="24"/>
        </w:rPr>
      </w:pPr>
    </w:p>
    <w:p w:rsidR="004E7CE7" w:rsidRPr="002573C5" w:rsidRDefault="004E7CE7" w:rsidP="004E7CE7">
      <w:pPr>
        <w:rPr>
          <w:rFonts w:ascii="Times New Roman" w:hAnsi="Times New Roman"/>
          <w:sz w:val="24"/>
          <w:szCs w:val="24"/>
        </w:rPr>
      </w:pPr>
      <w:r w:rsidRPr="002573C5">
        <w:rPr>
          <w:rFonts w:ascii="Times New Roman" w:hAnsi="Times New Roman"/>
          <w:sz w:val="24"/>
          <w:szCs w:val="24"/>
        </w:rPr>
        <w:t xml:space="preserve">                                 </w:t>
      </w:r>
    </w:p>
    <w:p w:rsidR="004E7CE7" w:rsidRDefault="004E7CE7" w:rsidP="004E7CE7">
      <w:pPr>
        <w:spacing w:after="0" w:line="240" w:lineRule="auto"/>
        <w:ind w:left="5670"/>
        <w:rPr>
          <w:rFonts w:ascii="Times New Roman" w:hAnsi="Times New Roman"/>
          <w:sz w:val="24"/>
          <w:szCs w:val="24"/>
        </w:rPr>
      </w:pPr>
    </w:p>
    <w:p w:rsidR="004E7CE7" w:rsidRDefault="004E7CE7" w:rsidP="004E7CE7">
      <w:pPr>
        <w:spacing w:after="0" w:line="240" w:lineRule="auto"/>
        <w:ind w:left="5670"/>
        <w:rPr>
          <w:rFonts w:ascii="Times New Roman" w:hAnsi="Times New Roman"/>
          <w:sz w:val="24"/>
          <w:szCs w:val="24"/>
        </w:rPr>
      </w:pPr>
    </w:p>
    <w:p w:rsidR="004E7CE7" w:rsidRDefault="004E7CE7" w:rsidP="004E7CE7">
      <w:pPr>
        <w:spacing w:after="0" w:line="240" w:lineRule="auto"/>
        <w:ind w:left="5670"/>
        <w:rPr>
          <w:rFonts w:ascii="Times New Roman" w:hAnsi="Times New Roman"/>
          <w:sz w:val="24"/>
          <w:szCs w:val="24"/>
        </w:rPr>
      </w:pPr>
    </w:p>
    <w:p w:rsidR="004E7CE7" w:rsidRDefault="004E7CE7" w:rsidP="004E7CE7">
      <w:pPr>
        <w:spacing w:after="0" w:line="240" w:lineRule="auto"/>
        <w:ind w:left="5670"/>
        <w:rPr>
          <w:rFonts w:ascii="Times New Roman" w:hAnsi="Times New Roman"/>
          <w:sz w:val="24"/>
          <w:szCs w:val="24"/>
        </w:rPr>
      </w:pPr>
    </w:p>
    <w:p w:rsidR="004E7CE7" w:rsidRDefault="004E7CE7" w:rsidP="004E7CE7">
      <w:pPr>
        <w:spacing w:after="0" w:line="240" w:lineRule="auto"/>
        <w:ind w:left="5670"/>
        <w:rPr>
          <w:rFonts w:ascii="Times New Roman" w:hAnsi="Times New Roman"/>
          <w:sz w:val="24"/>
          <w:szCs w:val="24"/>
        </w:rPr>
      </w:pPr>
    </w:p>
    <w:p w:rsidR="004E7CE7" w:rsidRDefault="004E7CE7" w:rsidP="004E7CE7">
      <w:pPr>
        <w:spacing w:after="0" w:line="240" w:lineRule="auto"/>
        <w:ind w:left="5670"/>
        <w:rPr>
          <w:rFonts w:ascii="Times New Roman" w:hAnsi="Times New Roman"/>
          <w:sz w:val="24"/>
          <w:szCs w:val="24"/>
        </w:rPr>
      </w:pPr>
    </w:p>
    <w:p w:rsidR="004E7CE7" w:rsidRDefault="004E7CE7" w:rsidP="004E7CE7">
      <w:pPr>
        <w:spacing w:after="0" w:line="240" w:lineRule="auto"/>
        <w:ind w:left="5670"/>
        <w:rPr>
          <w:rFonts w:ascii="Times New Roman" w:hAnsi="Times New Roman"/>
          <w:sz w:val="24"/>
          <w:szCs w:val="24"/>
        </w:rPr>
      </w:pPr>
    </w:p>
    <w:p w:rsidR="004E7CE7" w:rsidRDefault="004E7CE7" w:rsidP="004E7CE7">
      <w:pPr>
        <w:spacing w:after="0" w:line="240" w:lineRule="auto"/>
        <w:ind w:left="5670"/>
        <w:rPr>
          <w:rFonts w:ascii="Times New Roman" w:hAnsi="Times New Roman"/>
          <w:sz w:val="24"/>
          <w:szCs w:val="24"/>
        </w:rPr>
      </w:pPr>
    </w:p>
    <w:p w:rsidR="004E7CE7" w:rsidRPr="002573C5" w:rsidRDefault="004E7CE7" w:rsidP="004E7CE7">
      <w:pPr>
        <w:spacing w:after="0" w:line="240" w:lineRule="auto"/>
        <w:jc w:val="center"/>
        <w:rPr>
          <w:rFonts w:ascii="Times New Roman" w:hAnsi="Times New Roman"/>
          <w:b/>
          <w:sz w:val="24"/>
          <w:szCs w:val="24"/>
        </w:rPr>
      </w:pPr>
      <w:r w:rsidRPr="002573C5">
        <w:rPr>
          <w:rFonts w:ascii="Times New Roman" w:hAnsi="Times New Roman"/>
          <w:b/>
          <w:sz w:val="24"/>
          <w:szCs w:val="24"/>
        </w:rPr>
        <w:t>ПОЛОЖЕНИЕ</w:t>
      </w:r>
    </w:p>
    <w:p w:rsidR="004E7CE7" w:rsidRDefault="004E7CE7" w:rsidP="004E7CE7">
      <w:pPr>
        <w:spacing w:after="0" w:line="240" w:lineRule="auto"/>
        <w:jc w:val="center"/>
        <w:rPr>
          <w:rFonts w:ascii="Times New Roman" w:hAnsi="Times New Roman"/>
          <w:b/>
          <w:sz w:val="24"/>
          <w:szCs w:val="24"/>
        </w:rPr>
      </w:pPr>
      <w:r w:rsidRPr="002573C5">
        <w:rPr>
          <w:rFonts w:ascii="Times New Roman" w:hAnsi="Times New Roman"/>
          <w:b/>
          <w:sz w:val="24"/>
          <w:szCs w:val="24"/>
        </w:rPr>
        <w:t>о</w:t>
      </w:r>
      <w:r w:rsidRPr="006C4057">
        <w:rPr>
          <w:rFonts w:ascii="Times New Roman" w:eastAsia="Times New Roman" w:hAnsi="Times New Roman"/>
          <w:b/>
          <w:bCs/>
          <w:sz w:val="24"/>
          <w:szCs w:val="24"/>
          <w:lang w:eastAsia="ru-RU"/>
        </w:rPr>
        <w:t xml:space="preserve"> порядке проведения промежуточного контроля в переводных классах</w:t>
      </w:r>
      <w:r>
        <w:rPr>
          <w:rFonts w:ascii="Times New Roman" w:hAnsi="Times New Roman"/>
          <w:b/>
          <w:sz w:val="24"/>
          <w:szCs w:val="24"/>
        </w:rPr>
        <w:t xml:space="preserve"> </w:t>
      </w:r>
    </w:p>
    <w:p w:rsidR="004E7CE7" w:rsidRPr="002573C5" w:rsidRDefault="004E7CE7" w:rsidP="004E7CE7">
      <w:pPr>
        <w:spacing w:after="0" w:line="240" w:lineRule="auto"/>
        <w:jc w:val="center"/>
        <w:rPr>
          <w:rFonts w:ascii="Times New Roman" w:hAnsi="Times New Roman"/>
          <w:b/>
          <w:sz w:val="24"/>
          <w:szCs w:val="24"/>
        </w:rPr>
      </w:pPr>
    </w:p>
    <w:p w:rsidR="004E7CE7" w:rsidRDefault="004E7CE7" w:rsidP="004E7CE7">
      <w:pPr>
        <w:spacing w:after="0" w:line="240" w:lineRule="auto"/>
        <w:jc w:val="both"/>
        <w:outlineLvl w:val="3"/>
        <w:rPr>
          <w:rFonts w:ascii="Times New Roman" w:eastAsia="Times New Roman" w:hAnsi="Times New Roman"/>
          <w:b/>
          <w:bCs/>
          <w:sz w:val="24"/>
          <w:szCs w:val="24"/>
          <w:lang w:eastAsia="ru-RU"/>
        </w:rPr>
      </w:pPr>
    </w:p>
    <w:bookmarkEnd w:id="0"/>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I. Общие положения </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II. Подготовка материала к промежуточному контролю </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 III. Права </w:t>
      </w:r>
      <w:proofErr w:type="gramStart"/>
      <w:r w:rsidRPr="006C4057">
        <w:rPr>
          <w:rFonts w:ascii="Times New Roman" w:eastAsia="Times New Roman" w:hAnsi="Times New Roman"/>
          <w:sz w:val="24"/>
          <w:szCs w:val="24"/>
          <w:lang w:eastAsia="ru-RU"/>
        </w:rPr>
        <w:t>обучающихся</w:t>
      </w:r>
      <w:proofErr w:type="gramEnd"/>
      <w:r w:rsidRPr="006C4057">
        <w:rPr>
          <w:rFonts w:ascii="Times New Roman" w:eastAsia="Times New Roman" w:hAnsi="Times New Roman"/>
          <w:sz w:val="24"/>
          <w:szCs w:val="24"/>
          <w:lang w:eastAsia="ru-RU"/>
        </w:rPr>
        <w:t> </w:t>
      </w:r>
    </w:p>
    <w:p w:rsidR="004E7CE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IV. Экзаменационные комиссии </w:t>
      </w:r>
    </w:p>
    <w:p w:rsidR="004E7CE7" w:rsidRPr="006C4057" w:rsidRDefault="004E7CE7" w:rsidP="004E7CE7">
      <w:pPr>
        <w:spacing w:after="0" w:line="240" w:lineRule="auto"/>
        <w:jc w:val="both"/>
        <w:rPr>
          <w:rFonts w:ascii="Times New Roman" w:eastAsia="Times New Roman" w:hAnsi="Times New Roman"/>
          <w:sz w:val="24"/>
          <w:szCs w:val="24"/>
          <w:lang w:eastAsia="ru-RU"/>
        </w:rPr>
      </w:pPr>
    </w:p>
    <w:p w:rsidR="004E7CE7" w:rsidRPr="004E7CE7" w:rsidRDefault="004E7CE7" w:rsidP="004E7CE7">
      <w:pPr>
        <w:pStyle w:val="a3"/>
        <w:numPr>
          <w:ilvl w:val="0"/>
          <w:numId w:val="1"/>
        </w:numPr>
        <w:spacing w:after="0" w:line="240" w:lineRule="auto"/>
        <w:jc w:val="center"/>
        <w:rPr>
          <w:rFonts w:ascii="Times New Roman" w:eastAsia="Times New Roman" w:hAnsi="Times New Roman"/>
          <w:b/>
          <w:sz w:val="24"/>
          <w:szCs w:val="24"/>
          <w:lang w:eastAsia="ru-RU"/>
        </w:rPr>
      </w:pPr>
      <w:r w:rsidRPr="004E7CE7">
        <w:rPr>
          <w:rFonts w:ascii="Times New Roman" w:eastAsia="Times New Roman" w:hAnsi="Times New Roman"/>
          <w:b/>
          <w:sz w:val="24"/>
          <w:szCs w:val="24"/>
          <w:lang w:eastAsia="ru-RU"/>
        </w:rPr>
        <w:t>Общие положения</w:t>
      </w:r>
    </w:p>
    <w:p w:rsidR="004E7CE7" w:rsidRPr="004E7CE7" w:rsidRDefault="004E7CE7" w:rsidP="004E7CE7">
      <w:pPr>
        <w:pStyle w:val="a3"/>
        <w:spacing w:after="0" w:line="240" w:lineRule="auto"/>
        <w:ind w:left="1080"/>
        <w:rPr>
          <w:rFonts w:ascii="Times New Roman" w:eastAsia="Times New Roman" w:hAnsi="Times New Roman"/>
          <w:b/>
          <w:sz w:val="24"/>
          <w:szCs w:val="24"/>
          <w:lang w:eastAsia="ru-RU"/>
        </w:rPr>
      </w:pP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В целях повышения ответственности каждого учителя-предметника за результаты труда, за степень освоения </w:t>
      </w:r>
      <w:proofErr w:type="gramStart"/>
      <w:r w:rsidRPr="006C4057">
        <w:rPr>
          <w:rFonts w:ascii="Times New Roman" w:eastAsia="Times New Roman" w:hAnsi="Times New Roman"/>
          <w:sz w:val="24"/>
          <w:szCs w:val="24"/>
          <w:lang w:eastAsia="ru-RU"/>
        </w:rPr>
        <w:t>обучающимся</w:t>
      </w:r>
      <w:proofErr w:type="gramEnd"/>
      <w:r w:rsidRPr="006C4057">
        <w:rPr>
          <w:rFonts w:ascii="Times New Roman" w:eastAsia="Times New Roman" w:hAnsi="Times New Roman"/>
          <w:sz w:val="24"/>
          <w:szCs w:val="24"/>
          <w:lang w:eastAsia="ru-RU"/>
        </w:rPr>
        <w:t xml:space="preserve"> государственного стандарта, определенного образовательной программой в рамках учебного года или курса в целом, в соответствии с п. 3 ст. 15 Закона Российской Федерации "Об образовании" проводится промежуточный контроль в 2-3 (4), 5-8-х классах общеобразовательных учреждений.</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Из практики проведения промежуточного контроля можно выделить следующие формы: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и т.д.</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4E7CE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Защита реферата предполагает предварительный выбор обучающимся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w:t>
      </w:r>
      <w:proofErr w:type="gramStart"/>
      <w:r w:rsidRPr="006C4057">
        <w:rPr>
          <w:rFonts w:ascii="Times New Roman" w:eastAsia="Times New Roman" w:hAnsi="Times New Roman"/>
          <w:sz w:val="24"/>
          <w:szCs w:val="24"/>
          <w:lang w:eastAsia="ru-RU"/>
        </w:rPr>
        <w:t>позднее</w:t>
      </w:r>
      <w:proofErr w:type="gramEnd"/>
      <w:r w:rsidRPr="006C4057">
        <w:rPr>
          <w:rFonts w:ascii="Times New Roman" w:eastAsia="Times New Roman" w:hAnsi="Times New Roman"/>
          <w:sz w:val="24"/>
          <w:szCs w:val="24"/>
          <w:lang w:eastAsia="ru-RU"/>
        </w:rPr>
        <w:t xml:space="preserve"> чем за неделю до экзамена реферат представляется обучающимся на рецензию учителю-предметнику или научному руководителю. Аттестационная комиссия на экзамене знакомится с рецензией на представленную работу и выставляет оценку </w:t>
      </w:r>
      <w:proofErr w:type="gramStart"/>
      <w:r w:rsidRPr="006C4057">
        <w:rPr>
          <w:rFonts w:ascii="Times New Roman" w:eastAsia="Times New Roman" w:hAnsi="Times New Roman"/>
          <w:sz w:val="24"/>
          <w:szCs w:val="24"/>
          <w:lang w:eastAsia="ru-RU"/>
        </w:rPr>
        <w:t>обучающемуся</w:t>
      </w:r>
      <w:proofErr w:type="gramEnd"/>
      <w:r w:rsidRPr="006C4057">
        <w:rPr>
          <w:rFonts w:ascii="Times New Roman" w:eastAsia="Times New Roman" w:hAnsi="Times New Roman"/>
          <w:sz w:val="24"/>
          <w:szCs w:val="24"/>
          <w:lang w:eastAsia="ru-RU"/>
        </w:rPr>
        <w:t xml:space="preserve"> после защиты реферата.</w:t>
      </w:r>
    </w:p>
    <w:p w:rsidR="004E7CE7" w:rsidRPr="006C4057" w:rsidRDefault="004E7CE7" w:rsidP="004E7CE7">
      <w:pPr>
        <w:spacing w:after="0" w:line="240" w:lineRule="auto"/>
        <w:jc w:val="both"/>
        <w:rPr>
          <w:rFonts w:ascii="Times New Roman" w:eastAsia="Times New Roman" w:hAnsi="Times New Roman"/>
          <w:sz w:val="24"/>
          <w:szCs w:val="24"/>
          <w:lang w:eastAsia="ru-RU"/>
        </w:rPr>
      </w:pPr>
    </w:p>
    <w:p w:rsidR="004E7CE7" w:rsidRPr="004E7CE7" w:rsidRDefault="004E7CE7" w:rsidP="004E7CE7">
      <w:pPr>
        <w:pStyle w:val="a3"/>
        <w:numPr>
          <w:ilvl w:val="0"/>
          <w:numId w:val="1"/>
        </w:numPr>
        <w:spacing w:after="0" w:line="240" w:lineRule="auto"/>
        <w:jc w:val="center"/>
        <w:rPr>
          <w:rFonts w:ascii="Times New Roman" w:eastAsia="Times New Roman" w:hAnsi="Times New Roman"/>
          <w:b/>
          <w:sz w:val="24"/>
          <w:szCs w:val="24"/>
          <w:lang w:eastAsia="ru-RU"/>
        </w:rPr>
      </w:pPr>
      <w:r w:rsidRPr="004E7CE7">
        <w:rPr>
          <w:rFonts w:ascii="Times New Roman" w:eastAsia="Times New Roman" w:hAnsi="Times New Roman"/>
          <w:b/>
          <w:sz w:val="24"/>
          <w:szCs w:val="24"/>
          <w:lang w:eastAsia="ru-RU"/>
        </w:rPr>
        <w:t>Подготовка материала к промежуточному контролю</w:t>
      </w:r>
    </w:p>
    <w:p w:rsidR="004E7CE7" w:rsidRPr="004E7CE7" w:rsidRDefault="004E7CE7" w:rsidP="004E7CE7">
      <w:pPr>
        <w:pStyle w:val="a3"/>
        <w:spacing w:after="0" w:line="240" w:lineRule="auto"/>
        <w:ind w:left="1080"/>
        <w:rPr>
          <w:rFonts w:ascii="Times New Roman" w:eastAsia="Times New Roman" w:hAnsi="Times New Roman"/>
          <w:b/>
          <w:sz w:val="24"/>
          <w:szCs w:val="24"/>
          <w:lang w:eastAsia="ru-RU"/>
        </w:rPr>
      </w:pP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утверждает их на </w:t>
      </w:r>
      <w:proofErr w:type="spellStart"/>
      <w:r w:rsidRPr="006C4057">
        <w:rPr>
          <w:rFonts w:ascii="Times New Roman" w:eastAsia="Times New Roman" w:hAnsi="Times New Roman"/>
          <w:sz w:val="24"/>
          <w:szCs w:val="24"/>
          <w:lang w:eastAsia="ru-RU"/>
        </w:rPr>
        <w:t>методобъединениях</w:t>
      </w:r>
      <w:proofErr w:type="spellEnd"/>
      <w:r w:rsidRPr="006C4057">
        <w:rPr>
          <w:rFonts w:ascii="Times New Roman" w:eastAsia="Times New Roman" w:hAnsi="Times New Roman"/>
          <w:sz w:val="24"/>
          <w:szCs w:val="24"/>
          <w:lang w:eastAsia="ru-RU"/>
        </w:rPr>
        <w:t xml:space="preserve"> учителей-предметников.</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lastRenderedPageBreak/>
        <w:t>Обучающийся имеет право выбрать один из предметов, изучавшихся в рамках учебного плана в текущем учебном году.</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В экзаменационный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На аттестации по иностранному языку проверяются техника чтения и практическое владение </w:t>
      </w:r>
      <w:proofErr w:type="gramStart"/>
      <w:r w:rsidRPr="006C4057">
        <w:rPr>
          <w:rFonts w:ascii="Times New Roman" w:eastAsia="Times New Roman" w:hAnsi="Times New Roman"/>
          <w:sz w:val="24"/>
          <w:szCs w:val="24"/>
          <w:lang w:eastAsia="ru-RU"/>
        </w:rPr>
        <w:t>обучающимся</w:t>
      </w:r>
      <w:proofErr w:type="gramEnd"/>
      <w:r w:rsidRPr="006C4057">
        <w:rPr>
          <w:rFonts w:ascii="Times New Roman" w:eastAsia="Times New Roman" w:hAnsi="Times New Roman"/>
          <w:sz w:val="24"/>
          <w:szCs w:val="24"/>
          <w:lang w:eastAsia="ru-RU"/>
        </w:rPr>
        <w:t xml:space="preserve"> устной речью в пределах программных требований. В первой части ответа предполагается устное высказывание экзаменующимся по предложенной теме, состоящее из количества фраз, определенных </w:t>
      </w:r>
      <w:proofErr w:type="spellStart"/>
      <w:r w:rsidRPr="006C4057">
        <w:rPr>
          <w:rFonts w:ascii="Times New Roman" w:eastAsia="Times New Roman" w:hAnsi="Times New Roman"/>
          <w:sz w:val="24"/>
          <w:szCs w:val="24"/>
          <w:lang w:eastAsia="ru-RU"/>
        </w:rPr>
        <w:t>методобъединением</w:t>
      </w:r>
      <w:proofErr w:type="spellEnd"/>
      <w:r w:rsidRPr="006C4057">
        <w:rPr>
          <w:rFonts w:ascii="Times New Roman" w:eastAsia="Times New Roman" w:hAnsi="Times New Roman"/>
          <w:sz w:val="24"/>
          <w:szCs w:val="24"/>
          <w:lang w:eastAsia="ru-RU"/>
        </w:rPr>
        <w:t>,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младших классов I и II ступеней.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учителей исходя из требований образовательного стандарта.</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Оценки за ответ при любой форме проведения промежуточного контроля и любой системе оценки знаний, определенных уставом образовательного учреждения,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4E7CE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Аттестационный материал утверждается на школьных (городских, районных) </w:t>
      </w:r>
      <w:proofErr w:type="spellStart"/>
      <w:r w:rsidRPr="006C4057">
        <w:rPr>
          <w:rFonts w:ascii="Times New Roman" w:eastAsia="Times New Roman" w:hAnsi="Times New Roman"/>
          <w:sz w:val="24"/>
          <w:szCs w:val="24"/>
          <w:lang w:eastAsia="ru-RU"/>
        </w:rPr>
        <w:t>методобъединениях</w:t>
      </w:r>
      <w:proofErr w:type="spellEnd"/>
      <w:r w:rsidRPr="006C4057">
        <w:rPr>
          <w:rFonts w:ascii="Times New Roman" w:eastAsia="Times New Roman" w:hAnsi="Times New Roman"/>
          <w:sz w:val="24"/>
          <w:szCs w:val="24"/>
          <w:lang w:eastAsia="ru-RU"/>
        </w:rPr>
        <w:t xml:space="preserve"> учителей и хранится в сейфе руководителя образовательного учреждения.</w:t>
      </w:r>
    </w:p>
    <w:p w:rsidR="004E7CE7" w:rsidRPr="006C4057" w:rsidRDefault="004E7CE7" w:rsidP="004E7CE7">
      <w:pPr>
        <w:spacing w:after="0" w:line="240" w:lineRule="auto"/>
        <w:jc w:val="both"/>
        <w:rPr>
          <w:rFonts w:ascii="Times New Roman" w:eastAsia="Times New Roman" w:hAnsi="Times New Roman"/>
          <w:sz w:val="24"/>
          <w:szCs w:val="24"/>
          <w:lang w:eastAsia="ru-RU"/>
        </w:rPr>
      </w:pPr>
    </w:p>
    <w:p w:rsidR="004E7CE7" w:rsidRPr="004E7CE7" w:rsidRDefault="004E7CE7" w:rsidP="004E7CE7">
      <w:pPr>
        <w:pStyle w:val="a3"/>
        <w:numPr>
          <w:ilvl w:val="0"/>
          <w:numId w:val="1"/>
        </w:numPr>
        <w:spacing w:after="0" w:line="240" w:lineRule="auto"/>
        <w:jc w:val="center"/>
        <w:rPr>
          <w:rFonts w:ascii="Times New Roman" w:eastAsia="Times New Roman" w:hAnsi="Times New Roman"/>
          <w:b/>
          <w:sz w:val="24"/>
          <w:szCs w:val="24"/>
          <w:lang w:eastAsia="ru-RU"/>
        </w:rPr>
      </w:pPr>
      <w:r w:rsidRPr="004E7CE7">
        <w:rPr>
          <w:rFonts w:ascii="Times New Roman" w:eastAsia="Times New Roman" w:hAnsi="Times New Roman"/>
          <w:b/>
          <w:sz w:val="24"/>
          <w:szCs w:val="24"/>
          <w:lang w:eastAsia="ru-RU"/>
        </w:rPr>
        <w:t xml:space="preserve">Права </w:t>
      </w:r>
      <w:proofErr w:type="gramStart"/>
      <w:r w:rsidRPr="004E7CE7">
        <w:rPr>
          <w:rFonts w:ascii="Times New Roman" w:eastAsia="Times New Roman" w:hAnsi="Times New Roman"/>
          <w:b/>
          <w:sz w:val="24"/>
          <w:szCs w:val="24"/>
          <w:lang w:eastAsia="ru-RU"/>
        </w:rPr>
        <w:t>обучающихся</w:t>
      </w:r>
      <w:proofErr w:type="gramEnd"/>
    </w:p>
    <w:p w:rsidR="004E7CE7" w:rsidRPr="004E7CE7" w:rsidRDefault="004E7CE7" w:rsidP="004E7CE7">
      <w:pPr>
        <w:pStyle w:val="a3"/>
        <w:spacing w:after="0" w:line="240" w:lineRule="auto"/>
        <w:ind w:left="1080"/>
        <w:rPr>
          <w:rFonts w:ascii="Times New Roman" w:eastAsia="Times New Roman" w:hAnsi="Times New Roman"/>
          <w:b/>
          <w:sz w:val="24"/>
          <w:szCs w:val="24"/>
          <w:lang w:eastAsia="ru-RU"/>
        </w:rPr>
      </w:pP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На промежуточный контроль, как показывает практика работы общеобразовательных учреждений, выносится не менее двух учебных предметов, один из которых выбирает обучающийся. Один или два учебных предмета определяются руководством общеобразовательного учреждения в соответствии с необходимостью выводов о состоянии преподавания по плану </w:t>
      </w:r>
      <w:proofErr w:type="spellStart"/>
      <w:r w:rsidRPr="006C4057">
        <w:rPr>
          <w:rFonts w:ascii="Times New Roman" w:eastAsia="Times New Roman" w:hAnsi="Times New Roman"/>
          <w:sz w:val="24"/>
          <w:szCs w:val="24"/>
          <w:lang w:eastAsia="ru-RU"/>
        </w:rPr>
        <w:t>внутришкольного</w:t>
      </w:r>
      <w:proofErr w:type="spellEnd"/>
      <w:r w:rsidRPr="006C4057">
        <w:rPr>
          <w:rFonts w:ascii="Times New Roman" w:eastAsia="Times New Roman" w:hAnsi="Times New Roman"/>
          <w:sz w:val="24"/>
          <w:szCs w:val="24"/>
          <w:lang w:eastAsia="ru-RU"/>
        </w:rPr>
        <w:t xml:space="preserve"> контроля, один из предметов может быть рекомендован </w:t>
      </w:r>
      <w:proofErr w:type="spellStart"/>
      <w:r w:rsidRPr="006C4057">
        <w:rPr>
          <w:rFonts w:ascii="Times New Roman" w:eastAsia="Times New Roman" w:hAnsi="Times New Roman"/>
          <w:sz w:val="24"/>
          <w:szCs w:val="24"/>
          <w:lang w:eastAsia="ru-RU"/>
        </w:rPr>
        <w:t>методобъединением</w:t>
      </w:r>
      <w:proofErr w:type="spellEnd"/>
      <w:r w:rsidRPr="006C4057">
        <w:rPr>
          <w:rFonts w:ascii="Times New Roman" w:eastAsia="Times New Roman" w:hAnsi="Times New Roman"/>
          <w:sz w:val="24"/>
          <w:szCs w:val="24"/>
          <w:lang w:eastAsia="ru-RU"/>
        </w:rPr>
        <w:t xml:space="preserve"> учителей или педагогическим советом образовательного учреждения. По промежуточному контролю в переводных классах, при выборе предметов и формах проведения аттестации принимается решение педсовета (конец </w:t>
      </w:r>
      <w:proofErr w:type="spellStart"/>
      <w:proofErr w:type="gramStart"/>
      <w:r w:rsidRPr="006C4057">
        <w:rPr>
          <w:rFonts w:ascii="Times New Roman" w:eastAsia="Times New Roman" w:hAnsi="Times New Roman"/>
          <w:sz w:val="24"/>
          <w:szCs w:val="24"/>
          <w:lang w:eastAsia="ru-RU"/>
        </w:rPr>
        <w:t>марта-начало</w:t>
      </w:r>
      <w:proofErr w:type="spellEnd"/>
      <w:proofErr w:type="gramEnd"/>
      <w:r w:rsidRPr="006C4057">
        <w:rPr>
          <w:rFonts w:ascii="Times New Roman" w:eastAsia="Times New Roman" w:hAnsi="Times New Roman"/>
          <w:sz w:val="24"/>
          <w:szCs w:val="24"/>
          <w:lang w:eastAsia="ru-RU"/>
        </w:rPr>
        <w:t xml:space="preserve"> апреля) и издается приказ по общеобразовательному учреждению.</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От промежуточного контроля в переводных классах могут быть </w:t>
      </w:r>
      <w:proofErr w:type="gramStart"/>
      <w:r w:rsidRPr="006C4057">
        <w:rPr>
          <w:rFonts w:ascii="Times New Roman" w:eastAsia="Times New Roman" w:hAnsi="Times New Roman"/>
          <w:sz w:val="24"/>
          <w:szCs w:val="24"/>
          <w:lang w:eastAsia="ru-RU"/>
        </w:rPr>
        <w:t>освобождены</w:t>
      </w:r>
      <w:proofErr w:type="gramEnd"/>
      <w:r w:rsidRPr="006C4057">
        <w:rPr>
          <w:rFonts w:ascii="Times New Roman" w:eastAsia="Times New Roman" w:hAnsi="Times New Roman"/>
          <w:sz w:val="24"/>
          <w:szCs w:val="24"/>
          <w:lang w:eastAsia="ru-RU"/>
        </w:rPr>
        <w:t xml:space="preserve"> обучающиеся:</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 имеющие отличные отметки по всем предметам учебного плана (за исключением предметов, по которым </w:t>
      </w:r>
      <w:proofErr w:type="gramStart"/>
      <w:r w:rsidRPr="006C4057">
        <w:rPr>
          <w:rFonts w:ascii="Times New Roman" w:eastAsia="Times New Roman" w:hAnsi="Times New Roman"/>
          <w:sz w:val="24"/>
          <w:szCs w:val="24"/>
          <w:lang w:eastAsia="ru-RU"/>
        </w:rPr>
        <w:t>обучающийся</w:t>
      </w:r>
      <w:proofErr w:type="gramEnd"/>
      <w:r w:rsidRPr="006C4057">
        <w:rPr>
          <w:rFonts w:ascii="Times New Roman" w:eastAsia="Times New Roman" w:hAnsi="Times New Roman"/>
          <w:sz w:val="24"/>
          <w:szCs w:val="24"/>
          <w:lang w:eastAsia="ru-RU"/>
        </w:rPr>
        <w:t xml:space="preserve"> освобожден по состоянию здоровья);</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призеры областных (районных) предметных олимпиад, конкурсов;</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 </w:t>
      </w:r>
      <w:proofErr w:type="gramStart"/>
      <w:r w:rsidRPr="006C4057">
        <w:rPr>
          <w:rFonts w:ascii="Times New Roman" w:eastAsia="Times New Roman" w:hAnsi="Times New Roman"/>
          <w:sz w:val="24"/>
          <w:szCs w:val="24"/>
          <w:lang w:eastAsia="ru-RU"/>
        </w:rPr>
        <w:t>прошедшие</w:t>
      </w:r>
      <w:proofErr w:type="gramEnd"/>
      <w:r w:rsidRPr="006C4057">
        <w:rPr>
          <w:rFonts w:ascii="Times New Roman" w:eastAsia="Times New Roman" w:hAnsi="Times New Roman"/>
          <w:sz w:val="24"/>
          <w:szCs w:val="24"/>
          <w:lang w:eastAsia="ru-RU"/>
        </w:rPr>
        <w:t xml:space="preserve"> или направляющиеся на санаторное лечение в течение текущего учебного года.</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Обучающиеся, имеющие неудовлетворительную годовую оценку по учебному предмету, должны пройти промежуточный контроль по данному предмету.</w:t>
      </w:r>
    </w:p>
    <w:p w:rsidR="004E7CE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Перевод обучающихся осуществляется на основании Закона РФ "Об образовании", Типового положения об образовательном учреждении данного типа и устава общеобразовательного учреждения.</w:t>
      </w:r>
    </w:p>
    <w:p w:rsidR="004E7CE7" w:rsidRPr="006C4057" w:rsidRDefault="004E7CE7" w:rsidP="004E7CE7">
      <w:pPr>
        <w:spacing w:after="0" w:line="240" w:lineRule="auto"/>
        <w:jc w:val="both"/>
        <w:rPr>
          <w:rFonts w:ascii="Times New Roman" w:eastAsia="Times New Roman" w:hAnsi="Times New Roman"/>
          <w:sz w:val="24"/>
          <w:szCs w:val="24"/>
          <w:lang w:eastAsia="ru-RU"/>
        </w:rPr>
      </w:pPr>
    </w:p>
    <w:p w:rsidR="004E7CE7" w:rsidRPr="004E7CE7" w:rsidRDefault="004E7CE7" w:rsidP="004E7CE7">
      <w:pPr>
        <w:pStyle w:val="a3"/>
        <w:numPr>
          <w:ilvl w:val="0"/>
          <w:numId w:val="1"/>
        </w:numPr>
        <w:spacing w:after="0" w:line="240" w:lineRule="auto"/>
        <w:jc w:val="center"/>
        <w:rPr>
          <w:rFonts w:ascii="Times New Roman" w:eastAsia="Times New Roman" w:hAnsi="Times New Roman"/>
          <w:b/>
          <w:sz w:val="24"/>
          <w:szCs w:val="24"/>
          <w:lang w:eastAsia="ru-RU"/>
        </w:rPr>
      </w:pPr>
      <w:r w:rsidRPr="004E7CE7">
        <w:rPr>
          <w:rFonts w:ascii="Times New Roman" w:eastAsia="Times New Roman" w:hAnsi="Times New Roman"/>
          <w:b/>
          <w:sz w:val="24"/>
          <w:szCs w:val="24"/>
          <w:lang w:eastAsia="ru-RU"/>
        </w:rPr>
        <w:t>Экзаменационные комиссии</w:t>
      </w:r>
    </w:p>
    <w:p w:rsidR="004E7CE7" w:rsidRPr="004E7CE7" w:rsidRDefault="004E7CE7" w:rsidP="004E7CE7">
      <w:pPr>
        <w:pStyle w:val="a3"/>
        <w:spacing w:after="0" w:line="240" w:lineRule="auto"/>
        <w:ind w:left="1080"/>
        <w:rPr>
          <w:rFonts w:ascii="Times New Roman" w:eastAsia="Times New Roman" w:hAnsi="Times New Roman"/>
          <w:b/>
          <w:sz w:val="24"/>
          <w:szCs w:val="24"/>
          <w:lang w:eastAsia="ru-RU"/>
        </w:rPr>
      </w:pP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 xml:space="preserve">Списки аттестационных комиссий, принимающих промежуточный контроль в переводных классах, даты контроля, консультации утверждаются руководством общеобразовательного учреждения до 10 мая. Срок проведения промежуточного контроля - с 15 по 31 мая. При составлении расписания </w:t>
      </w:r>
      <w:r w:rsidRPr="006C4057">
        <w:rPr>
          <w:rFonts w:ascii="Times New Roman" w:eastAsia="Times New Roman" w:hAnsi="Times New Roman"/>
          <w:sz w:val="24"/>
          <w:szCs w:val="24"/>
          <w:lang w:eastAsia="ru-RU"/>
        </w:rPr>
        <w:lastRenderedPageBreak/>
        <w:t>промежуточного контроля необходимо учитывать, что в день проводится только один экзамен (аттестация), между двумя экзаменами - не менее трех дней (исключая выходные дни).</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Аттестационная комиссия для промежуточного контроля может состоять из 2 преподавателей: экзаменующего учителя и ассистента, однако, при проведении промежуточного контроля возможно присутствие представителя совета образовательного учреждения, специалиста муниципального отдела (управления) образования.</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По проведении промежуточного контроля аттестационная комиссия сдает анализ соответствия знаний обучающихся требованиям государственных образовательных стандартов по схеме или вопросам, разработанным руководством общеобразовательного учреждения.</w:t>
      </w:r>
    </w:p>
    <w:p w:rsidR="004E7CE7" w:rsidRPr="006C4057" w:rsidRDefault="004E7CE7" w:rsidP="004E7CE7">
      <w:pPr>
        <w:spacing w:after="0" w:line="240" w:lineRule="auto"/>
        <w:jc w:val="both"/>
        <w:rPr>
          <w:rFonts w:ascii="Times New Roman" w:eastAsia="Times New Roman" w:hAnsi="Times New Roman"/>
          <w:sz w:val="24"/>
          <w:szCs w:val="24"/>
          <w:lang w:eastAsia="ru-RU"/>
        </w:rPr>
      </w:pPr>
      <w:r w:rsidRPr="006C4057">
        <w:rPr>
          <w:rFonts w:ascii="Times New Roman" w:eastAsia="Times New Roman" w:hAnsi="Times New Roman"/>
          <w:sz w:val="24"/>
          <w:szCs w:val="24"/>
          <w:lang w:eastAsia="ru-RU"/>
        </w:rPr>
        <w:t>Оценки, полученные обучающимся в ходе промежуточного контроля, записываются в ведомости (установленного образца) и классных журналах.</w:t>
      </w:r>
    </w:p>
    <w:p w:rsidR="004E7CE7" w:rsidRDefault="004E7CE7" w:rsidP="004E7CE7"/>
    <w:p w:rsidR="00D44F4D" w:rsidRDefault="00D44F4D"/>
    <w:sectPr w:rsidR="00D44F4D" w:rsidSect="002573C5">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7CAB"/>
    <w:multiLevelType w:val="hybridMultilevel"/>
    <w:tmpl w:val="2368947A"/>
    <w:lvl w:ilvl="0" w:tplc="5706D1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CE7"/>
    <w:rsid w:val="004E7CE7"/>
    <w:rsid w:val="00980107"/>
    <w:rsid w:val="00D4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C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Нафиса Шамиловна</dc:creator>
  <cp:lastModifiedBy>Нафиса Шамиловна</cp:lastModifiedBy>
  <cp:revision>1</cp:revision>
  <dcterms:created xsi:type="dcterms:W3CDTF">2017-06-22T05:49:00Z</dcterms:created>
  <dcterms:modified xsi:type="dcterms:W3CDTF">2017-06-22T05:52:00Z</dcterms:modified>
</cp:coreProperties>
</file>